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77" w:rsidRDefault="00EE3163" w:rsidP="00EE31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3163">
        <w:rPr>
          <w:rFonts w:ascii="Times New Roman" w:hAnsi="Times New Roman" w:cs="Times New Roman"/>
          <w:b/>
          <w:sz w:val="28"/>
          <w:szCs w:val="28"/>
        </w:rPr>
        <w:t xml:space="preserve">NOWOTWORY/GUZY NEUROENDOKRYNNE PRZEWODU POKARMOWEGO </w:t>
      </w:r>
    </w:p>
    <w:p w:rsidR="00FD76AB" w:rsidRPr="00FD76AB" w:rsidRDefault="00FD76AB" w:rsidP="00EE316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76AB">
        <w:rPr>
          <w:rFonts w:ascii="Times New Roman" w:hAnsi="Times New Roman" w:cs="Times New Roman"/>
          <w:b/>
          <w:bCs/>
          <w:i/>
          <w:sz w:val="28"/>
          <w:szCs w:val="28"/>
        </w:rPr>
        <w:t>(Neuroendocrine Tumors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D76AB">
        <w:rPr>
          <w:rFonts w:ascii="Times New Roman" w:hAnsi="Times New Roman" w:cs="Times New Roman"/>
          <w:b/>
          <w:i/>
          <w:sz w:val="28"/>
          <w:szCs w:val="28"/>
        </w:rPr>
        <w:t>(NET, NEN)</w:t>
      </w:r>
      <w:r w:rsidRPr="00FD76A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2C3786" w:rsidRPr="003C63A0" w:rsidRDefault="002C3786" w:rsidP="00EE31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63A0">
        <w:rPr>
          <w:rFonts w:ascii="Times New Roman" w:hAnsi="Times New Roman" w:cs="Times New Roman"/>
          <w:b/>
          <w:sz w:val="28"/>
          <w:szCs w:val="28"/>
        </w:rPr>
        <w:t>Anna Nasierowska-Guttmejer</w:t>
      </w:r>
    </w:p>
    <w:p w:rsidR="00EE3163" w:rsidRDefault="00EE3163" w:rsidP="00EE31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3163">
        <w:rPr>
          <w:rFonts w:ascii="Times New Roman" w:hAnsi="Times New Roman" w:cs="Times New Roman"/>
          <w:b/>
          <w:sz w:val="28"/>
          <w:szCs w:val="28"/>
        </w:rPr>
        <w:t>Rodzaj materiału</w:t>
      </w:r>
      <w:r>
        <w:rPr>
          <w:rFonts w:ascii="Times New Roman" w:hAnsi="Times New Roman" w:cs="Times New Roman"/>
          <w:sz w:val="28"/>
          <w:szCs w:val="28"/>
        </w:rPr>
        <w:t>: przełyk, żołądek, dwunastnica, jelito cienkie, wyrostek robaczkowy, kątnica, okrężnica, odbytnica,</w:t>
      </w:r>
      <w:r w:rsidR="00016B4C">
        <w:rPr>
          <w:rFonts w:ascii="Times New Roman" w:hAnsi="Times New Roman" w:cs="Times New Roman"/>
          <w:sz w:val="28"/>
          <w:szCs w:val="28"/>
        </w:rPr>
        <w:t xml:space="preserve"> trzustka,</w:t>
      </w:r>
      <w:r w:rsidR="000C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inne</w:t>
      </w:r>
    </w:p>
    <w:p w:rsidR="00EE3163" w:rsidRDefault="00EE3163" w:rsidP="00EE316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163" w:rsidRDefault="00EE3163" w:rsidP="00EE31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3163">
        <w:rPr>
          <w:rFonts w:ascii="Times New Roman" w:hAnsi="Times New Roman" w:cs="Times New Roman"/>
          <w:b/>
          <w:sz w:val="28"/>
          <w:szCs w:val="28"/>
        </w:rPr>
        <w:t>Procedury chirurgiczne</w:t>
      </w:r>
    </w:p>
    <w:p w:rsidR="00EE3163" w:rsidRDefault="00EE3163" w:rsidP="00EE316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Polipektomia</w:t>
      </w:r>
    </w:p>
    <w:p w:rsidR="00EE3163" w:rsidRDefault="00EE3163" w:rsidP="00EE316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Wycięcie endoskopowe śluzówkowe/podśluzówkowe</w:t>
      </w:r>
    </w:p>
    <w:p w:rsidR="00EE3163" w:rsidRDefault="00EE3163" w:rsidP="00EE316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Wyciecie guza/tumorektomia</w:t>
      </w:r>
    </w:p>
    <w:p w:rsidR="00EE3163" w:rsidRDefault="00EE3163" w:rsidP="00EE316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Wycięcie chirurgiczne narządu z guzem</w:t>
      </w:r>
    </w:p>
    <w:p w:rsidR="00EE3163" w:rsidRDefault="00EE3163" w:rsidP="00EE316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</w:t>
      </w:r>
    </w:p>
    <w:p w:rsidR="00EE3163" w:rsidRDefault="00EE3163" w:rsidP="00EE316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163" w:rsidRDefault="00EE3163" w:rsidP="00EE31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3163">
        <w:rPr>
          <w:rFonts w:ascii="Times New Roman" w:hAnsi="Times New Roman" w:cs="Times New Roman"/>
          <w:b/>
          <w:sz w:val="28"/>
          <w:szCs w:val="28"/>
        </w:rPr>
        <w:t>Badanie makroskopowe</w:t>
      </w:r>
    </w:p>
    <w:p w:rsidR="00EE3163" w:rsidRDefault="00EE3163" w:rsidP="00EE316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Lokalizacja</w:t>
      </w:r>
    </w:p>
    <w:p w:rsidR="00EE3163" w:rsidRDefault="00EE3163" w:rsidP="00EE316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Wielkość</w:t>
      </w:r>
    </w:p>
    <w:p w:rsidR="00EE3163" w:rsidRDefault="00EE3163" w:rsidP="00EE316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Marginesy</w:t>
      </w:r>
    </w:p>
    <w:p w:rsidR="00EE3163" w:rsidRDefault="00EE3163" w:rsidP="00EE316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guzów</w:t>
      </w:r>
    </w:p>
    <w:p w:rsidR="00EE3163" w:rsidRDefault="00EE3163" w:rsidP="00EE316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</w:t>
      </w:r>
    </w:p>
    <w:p w:rsidR="00EE3163" w:rsidRDefault="00EE3163" w:rsidP="00EE3163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E3163" w:rsidRDefault="00EE3163" w:rsidP="00EE31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3163">
        <w:rPr>
          <w:rFonts w:ascii="Times New Roman" w:hAnsi="Times New Roman" w:cs="Times New Roman"/>
          <w:b/>
          <w:sz w:val="28"/>
          <w:szCs w:val="28"/>
        </w:rPr>
        <w:t>Badanie mikroskopowe</w:t>
      </w:r>
    </w:p>
    <w:p w:rsidR="00EE3163" w:rsidRDefault="00EE3163" w:rsidP="00EE316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3163">
        <w:rPr>
          <w:rFonts w:ascii="Times New Roman" w:hAnsi="Times New Roman" w:cs="Times New Roman"/>
          <w:sz w:val="28"/>
          <w:szCs w:val="28"/>
        </w:rPr>
        <w:t>Typ histologiczny według ENETS/WHO 2010</w:t>
      </w:r>
    </w:p>
    <w:p w:rsidR="00971D61" w:rsidRPr="00971D61" w:rsidRDefault="00971D61" w:rsidP="00971D61">
      <w:pPr>
        <w:pStyle w:val="Akapitzlist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71D61">
        <w:rPr>
          <w:rFonts w:ascii="Times New Roman" w:hAnsi="Times New Roman" w:cs="Times New Roman"/>
          <w:i/>
          <w:sz w:val="28"/>
          <w:szCs w:val="28"/>
        </w:rPr>
        <w:t>Nowotwory/guzy neuroendokrynne (NET)/Neuroendocrine tumour (NET)</w:t>
      </w:r>
    </w:p>
    <w:p w:rsidR="00971D61" w:rsidRDefault="00971D61" w:rsidP="00971D61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 G1 (carcinoid)  8240/3</w:t>
      </w:r>
    </w:p>
    <w:p w:rsidR="00971D61" w:rsidRDefault="00971D61" w:rsidP="00971D61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 G2                     8249/3</w:t>
      </w:r>
    </w:p>
    <w:p w:rsidR="00971D61" w:rsidRDefault="00971D61" w:rsidP="00971D61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4078"/>
        <w:gridCol w:w="4130"/>
      </w:tblGrid>
      <w:tr w:rsidR="00EE3163" w:rsidTr="00EE3163">
        <w:tc>
          <w:tcPr>
            <w:tcW w:w="4606" w:type="dxa"/>
          </w:tcPr>
          <w:p w:rsidR="00EE3163" w:rsidRPr="00EE3163" w:rsidRDefault="00EE3163" w:rsidP="00EE31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Stopień zróżnicowania morfologicznego</w:t>
            </w:r>
          </w:p>
        </w:tc>
        <w:tc>
          <w:tcPr>
            <w:tcW w:w="4606" w:type="dxa"/>
          </w:tcPr>
          <w:p w:rsidR="00EE3163" w:rsidRPr="00EE3163" w:rsidRDefault="00EE3163" w:rsidP="00E5159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</w:t>
            </w:r>
            <w:r w:rsidR="00E51597">
              <w:rPr>
                <w:rFonts w:ascii="Times New Roman" w:hAnsi="Times New Roman" w:cs="Times New Roman"/>
                <w:b/>
                <w:sz w:val="24"/>
                <w:szCs w:val="24"/>
              </w:rPr>
              <w:t>histologicznej dojrzałości</w:t>
            </w:r>
            <w:r w:rsidRPr="00EE3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(Grade)</w:t>
            </w:r>
            <w:r w:rsidR="00E51597">
              <w:rPr>
                <w:rFonts w:ascii="Times New Roman" w:hAnsi="Times New Roman" w:cs="Times New Roman"/>
                <w:b/>
                <w:sz w:val="24"/>
                <w:szCs w:val="24"/>
              </w:rPr>
              <w:t>/złośliwości</w:t>
            </w:r>
          </w:p>
        </w:tc>
      </w:tr>
      <w:tr w:rsidR="00EE3163" w:rsidTr="00EE3163">
        <w:tc>
          <w:tcPr>
            <w:tcW w:w="4606" w:type="dxa"/>
          </w:tcPr>
          <w:p w:rsidR="00EE3163" w:rsidRPr="00EE3163" w:rsidRDefault="00EE3163" w:rsidP="00EE31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3">
              <w:rPr>
                <w:rFonts w:ascii="Times New Roman" w:hAnsi="Times New Roman" w:cs="Times New Roman"/>
                <w:sz w:val="24"/>
                <w:szCs w:val="24"/>
              </w:rPr>
              <w:t>Wysoko-zróżnicowane                               (</w:t>
            </w:r>
            <w:r w:rsidRPr="00EE3163">
              <w:rPr>
                <w:rFonts w:ascii="Times New Roman" w:hAnsi="Times New Roman" w:cs="Times New Roman"/>
                <w:i/>
                <w:sz w:val="24"/>
                <w:szCs w:val="24"/>
              </w:rPr>
              <w:t>well-differentiated</w:t>
            </w:r>
            <w:r w:rsidRPr="00EE3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EE3163" w:rsidRDefault="00E51597" w:rsidP="00EE31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Wysoki stopień dojrzałości/</w:t>
            </w:r>
            <w:r w:rsidR="00EE3163" w:rsidRPr="00EE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Niski stopień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złośliwości</w:t>
            </w:r>
            <w:r w:rsidR="00EE3163" w:rsidRPr="00EE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E3163" w:rsidRPr="00EE31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low grade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mal</w:t>
            </w:r>
            <w:r w:rsidR="00971D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gnancy</w:t>
            </w:r>
            <w:r w:rsidR="00EE3163" w:rsidRPr="00EE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EE3163" w:rsidRPr="00EE3163" w:rsidRDefault="00EE3163" w:rsidP="00EE31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ENETS G1, NET G1</w:t>
            </w:r>
          </w:p>
          <w:p w:rsidR="00EE3163" w:rsidRPr="00EE3163" w:rsidRDefault="00EE3163" w:rsidP="00EE31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Średni stopień</w:t>
            </w:r>
            <w:r w:rsidR="00E51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dojrzałości/ złośliwości</w:t>
            </w:r>
            <w:r w:rsidRPr="00EE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E31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intermediate grade</w:t>
            </w:r>
            <w:r w:rsidR="00E515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malignancy</w:t>
            </w:r>
            <w:r w:rsidRPr="00EE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ENETS G2, NET G2</w:t>
            </w:r>
          </w:p>
        </w:tc>
      </w:tr>
      <w:tr w:rsidR="00EE3163" w:rsidTr="00EE3163">
        <w:tc>
          <w:tcPr>
            <w:tcW w:w="4606" w:type="dxa"/>
          </w:tcPr>
          <w:p w:rsidR="00EE3163" w:rsidRPr="00EE3163" w:rsidRDefault="00EE3163" w:rsidP="00EE31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3">
              <w:rPr>
                <w:rFonts w:ascii="Times New Roman" w:hAnsi="Times New Roman" w:cs="Times New Roman"/>
                <w:sz w:val="24"/>
                <w:szCs w:val="24"/>
              </w:rPr>
              <w:t>Nisko-zróżnicowane                               (</w:t>
            </w:r>
            <w:r w:rsidRPr="00EE3163">
              <w:rPr>
                <w:rFonts w:ascii="Times New Roman" w:hAnsi="Times New Roman" w:cs="Times New Roman"/>
                <w:i/>
                <w:sz w:val="24"/>
                <w:szCs w:val="24"/>
              </w:rPr>
              <w:t>poorly-differentiated</w:t>
            </w:r>
            <w:r w:rsidRPr="00EE3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EE3163" w:rsidRDefault="00E51597" w:rsidP="00EE31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Niski stopień dojrzałości/</w:t>
            </w:r>
            <w:r w:rsidR="00EE3163" w:rsidRPr="00EE3163">
              <w:rPr>
                <w:rFonts w:ascii="Times New Roman" w:hAnsi="Times New Roman" w:cs="Times New Roman"/>
                <w:sz w:val="24"/>
                <w:szCs w:val="24"/>
              </w:rPr>
              <w:t xml:space="preserve">Wysoki stopień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złośliwości </w:t>
            </w:r>
            <w:r w:rsidR="00EE3163" w:rsidRPr="00EE31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3163" w:rsidRPr="00EE3163">
              <w:rPr>
                <w:rFonts w:ascii="Times New Roman" w:hAnsi="Times New Roman" w:cs="Times New Roman"/>
                <w:i/>
                <w:sz w:val="24"/>
                <w:szCs w:val="24"/>
              </w:rPr>
              <w:t>high grade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malignancy</w:t>
            </w:r>
            <w:r w:rsidR="00EE3163" w:rsidRPr="00EE316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E3163" w:rsidRPr="00EE3163" w:rsidRDefault="00EE3163" w:rsidP="00EE316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3">
              <w:rPr>
                <w:rFonts w:ascii="Times New Roman" w:hAnsi="Times New Roman" w:cs="Times New Roman"/>
                <w:sz w:val="24"/>
                <w:szCs w:val="24"/>
              </w:rPr>
              <w:t>ENETS G3, NEC</w:t>
            </w:r>
          </w:p>
        </w:tc>
      </w:tr>
    </w:tbl>
    <w:p w:rsidR="00EE3163" w:rsidRDefault="00EE3163" w:rsidP="00EE3163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E3163" w:rsidRDefault="00EE3163" w:rsidP="00EE316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Stopień histologicznej złośliwości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EE3163" w:rsidRPr="00940E53" w:rsidTr="003A2647">
        <w:tc>
          <w:tcPr>
            <w:tcW w:w="3070" w:type="dxa"/>
          </w:tcPr>
          <w:p w:rsidR="00EE3163" w:rsidRPr="00EE3163" w:rsidRDefault="00EE3163" w:rsidP="00EE31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63">
              <w:rPr>
                <w:rFonts w:ascii="Times New Roman" w:hAnsi="Times New Roman" w:cs="Times New Roman"/>
                <w:b/>
                <w:sz w:val="24"/>
                <w:szCs w:val="24"/>
              </w:rPr>
              <w:t>Stopień histologicznej dojrzałości NEN (cecha G)</w:t>
            </w:r>
          </w:p>
        </w:tc>
        <w:tc>
          <w:tcPr>
            <w:tcW w:w="3071" w:type="dxa"/>
          </w:tcPr>
          <w:p w:rsidR="00EE3163" w:rsidRPr="00EE3163" w:rsidRDefault="00EE3163" w:rsidP="00EE31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63">
              <w:rPr>
                <w:rFonts w:ascii="Times New Roman" w:hAnsi="Times New Roman" w:cs="Times New Roman"/>
                <w:b/>
                <w:sz w:val="24"/>
                <w:szCs w:val="24"/>
              </w:rPr>
              <w:t>Aktywność mitotyczna/ liczba figur podziału/10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użych </w:t>
            </w:r>
            <w:r w:rsidRPr="00EE316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ól </w:t>
            </w:r>
            <w:r w:rsidRPr="00EE3163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idzenia</w:t>
            </w:r>
            <w:r w:rsidRPr="00EE3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3071" w:type="dxa"/>
          </w:tcPr>
          <w:p w:rsidR="00EE3163" w:rsidRPr="00EE3163" w:rsidRDefault="00EE3163" w:rsidP="00EE31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63">
              <w:rPr>
                <w:rFonts w:ascii="Times New Roman" w:hAnsi="Times New Roman" w:cs="Times New Roman"/>
                <w:b/>
                <w:sz w:val="24"/>
                <w:szCs w:val="24"/>
              </w:rPr>
              <w:t>Indeks proliferacyjny Ki67/% komórek (liczonych na 2000 komórek)</w:t>
            </w:r>
          </w:p>
        </w:tc>
      </w:tr>
      <w:tr w:rsidR="00EE3163" w:rsidRPr="00940E53" w:rsidTr="003A2647">
        <w:tc>
          <w:tcPr>
            <w:tcW w:w="3070" w:type="dxa"/>
          </w:tcPr>
          <w:p w:rsidR="00EE3163" w:rsidRPr="00EE3163" w:rsidRDefault="00EE3163" w:rsidP="00EE31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3">
              <w:rPr>
                <w:rFonts w:ascii="Times New Roman" w:hAnsi="Times New Roman" w:cs="Times New Roman"/>
                <w:sz w:val="24"/>
                <w:szCs w:val="24"/>
              </w:rPr>
              <w:t xml:space="preserve">G1 – </w:t>
            </w:r>
            <w:r w:rsidR="006B373A">
              <w:rPr>
                <w:rFonts w:ascii="Times New Roman" w:hAnsi="Times New Roman" w:cs="Times New Roman"/>
                <w:sz w:val="24"/>
                <w:szCs w:val="24"/>
              </w:rPr>
              <w:t xml:space="preserve">guzy </w:t>
            </w:r>
            <w:r w:rsidRPr="00EE3163">
              <w:rPr>
                <w:rFonts w:ascii="Times New Roman" w:hAnsi="Times New Roman" w:cs="Times New Roman"/>
                <w:sz w:val="24"/>
                <w:szCs w:val="24"/>
              </w:rPr>
              <w:t xml:space="preserve">wysoko-dojrzałe,           o niskiej złośliwości </w:t>
            </w:r>
          </w:p>
        </w:tc>
        <w:tc>
          <w:tcPr>
            <w:tcW w:w="3071" w:type="dxa"/>
          </w:tcPr>
          <w:p w:rsidR="00EE3163" w:rsidRPr="00EE3163" w:rsidRDefault="00EE3163" w:rsidP="006B373A">
            <w:pPr>
              <w:pStyle w:val="Tekstpodstawowy"/>
              <w:snapToGrid w:val="0"/>
              <w:jc w:val="center"/>
            </w:pPr>
            <w:r w:rsidRPr="00EE3163">
              <w:t>&lt; 2</w:t>
            </w:r>
          </w:p>
        </w:tc>
        <w:tc>
          <w:tcPr>
            <w:tcW w:w="3071" w:type="dxa"/>
          </w:tcPr>
          <w:p w:rsidR="00EE3163" w:rsidRPr="00EE3163" w:rsidRDefault="00EE3163" w:rsidP="006B373A">
            <w:pPr>
              <w:pStyle w:val="Tekstpodstawowy"/>
              <w:snapToGrid w:val="0"/>
              <w:jc w:val="center"/>
            </w:pPr>
            <w:r w:rsidRPr="00EE3163">
              <w:t>≤2</w:t>
            </w:r>
          </w:p>
        </w:tc>
      </w:tr>
      <w:tr w:rsidR="00EE3163" w:rsidRPr="00940E53" w:rsidTr="003A2647">
        <w:tc>
          <w:tcPr>
            <w:tcW w:w="3070" w:type="dxa"/>
          </w:tcPr>
          <w:p w:rsidR="00EE3163" w:rsidRPr="00EE3163" w:rsidRDefault="00EE3163" w:rsidP="00EE31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3">
              <w:rPr>
                <w:rFonts w:ascii="Times New Roman" w:hAnsi="Times New Roman" w:cs="Times New Roman"/>
                <w:sz w:val="24"/>
                <w:szCs w:val="24"/>
              </w:rPr>
              <w:t xml:space="preserve">G2 – </w:t>
            </w:r>
            <w:r w:rsidR="006B373A">
              <w:rPr>
                <w:rFonts w:ascii="Times New Roman" w:hAnsi="Times New Roman" w:cs="Times New Roman"/>
                <w:sz w:val="24"/>
                <w:szCs w:val="24"/>
              </w:rPr>
              <w:t xml:space="preserve">guzy </w:t>
            </w:r>
            <w:r w:rsidRPr="00EE3163">
              <w:rPr>
                <w:rFonts w:ascii="Times New Roman" w:hAnsi="Times New Roman" w:cs="Times New Roman"/>
                <w:sz w:val="24"/>
                <w:szCs w:val="24"/>
              </w:rPr>
              <w:t>średnio-dojrzałe,           o średniej złośliwości</w:t>
            </w:r>
          </w:p>
        </w:tc>
        <w:tc>
          <w:tcPr>
            <w:tcW w:w="3071" w:type="dxa"/>
          </w:tcPr>
          <w:p w:rsidR="00EE3163" w:rsidRPr="00EE3163" w:rsidRDefault="00EE3163" w:rsidP="006B373A">
            <w:pPr>
              <w:pStyle w:val="Tekstpodstawowy"/>
              <w:snapToGrid w:val="0"/>
              <w:jc w:val="center"/>
            </w:pPr>
            <w:r w:rsidRPr="00EE3163">
              <w:t>2-20</w:t>
            </w:r>
          </w:p>
        </w:tc>
        <w:tc>
          <w:tcPr>
            <w:tcW w:w="3071" w:type="dxa"/>
          </w:tcPr>
          <w:p w:rsidR="00EE3163" w:rsidRPr="00EE3163" w:rsidRDefault="00EE3163" w:rsidP="006B373A">
            <w:pPr>
              <w:pStyle w:val="Tekstpodstawowy"/>
              <w:snapToGrid w:val="0"/>
              <w:jc w:val="center"/>
            </w:pPr>
            <w:r w:rsidRPr="00EE3163">
              <w:t>3-20</w:t>
            </w:r>
          </w:p>
        </w:tc>
      </w:tr>
      <w:tr w:rsidR="00EE3163" w:rsidRPr="00940E53" w:rsidTr="003A2647">
        <w:tc>
          <w:tcPr>
            <w:tcW w:w="3070" w:type="dxa"/>
          </w:tcPr>
          <w:p w:rsidR="00EE3163" w:rsidRPr="00EE3163" w:rsidRDefault="00EE3163" w:rsidP="00EE31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G3x – </w:t>
            </w:r>
            <w:r w:rsidR="006B373A">
              <w:rPr>
                <w:rFonts w:ascii="Times New Roman" w:hAnsi="Times New Roman" w:cs="Times New Roman"/>
                <w:sz w:val="24"/>
                <w:szCs w:val="24"/>
              </w:rPr>
              <w:t xml:space="preserve">guzy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nisko-dojrzałe o wysokiej złośliwości</w:t>
            </w:r>
          </w:p>
        </w:tc>
        <w:tc>
          <w:tcPr>
            <w:tcW w:w="3071" w:type="dxa"/>
          </w:tcPr>
          <w:p w:rsidR="00EE3163" w:rsidRPr="00EE3163" w:rsidRDefault="00EE3163" w:rsidP="006B373A">
            <w:pPr>
              <w:pStyle w:val="Tekstpodstawowy"/>
              <w:snapToGrid w:val="0"/>
              <w:jc w:val="center"/>
            </w:pPr>
            <w:r>
              <w:t>Powyżej 20</w:t>
            </w:r>
          </w:p>
        </w:tc>
        <w:tc>
          <w:tcPr>
            <w:tcW w:w="3071" w:type="dxa"/>
          </w:tcPr>
          <w:p w:rsidR="00EE3163" w:rsidRPr="00EE3163" w:rsidRDefault="00EE3163" w:rsidP="006B373A">
            <w:pPr>
              <w:pStyle w:val="Tekstpodstawowy"/>
              <w:snapToGrid w:val="0"/>
              <w:jc w:val="center"/>
            </w:pPr>
            <w:r>
              <w:t>Powyżej 20</w:t>
            </w:r>
          </w:p>
        </w:tc>
      </w:tr>
    </w:tbl>
    <w:p w:rsidR="00EE3163" w:rsidRDefault="00EE3163" w:rsidP="00EE3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komentarz: </w:t>
      </w:r>
      <w:r w:rsidR="006B373A">
        <w:rPr>
          <w:rFonts w:ascii="Times New Roman" w:hAnsi="Times New Roman" w:cs="Times New Roman"/>
          <w:sz w:val="28"/>
          <w:szCs w:val="28"/>
        </w:rPr>
        <w:t xml:space="preserve">NEC/ENETS </w:t>
      </w:r>
      <w:r>
        <w:rPr>
          <w:rFonts w:ascii="Times New Roman" w:hAnsi="Times New Roman" w:cs="Times New Roman"/>
          <w:sz w:val="28"/>
          <w:szCs w:val="28"/>
        </w:rPr>
        <w:t xml:space="preserve">G3 klasyfikowane są jak klasyczne narządowe raki gruczołowe </w:t>
      </w:r>
    </w:p>
    <w:p w:rsidR="00EE3163" w:rsidRDefault="00EE3163" w:rsidP="00EE316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Stopień patomorfologicznego zaawansowania pTNM według ENET</w:t>
      </w:r>
      <w:r w:rsidR="006B373A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i pTNM AJCC/UICC 2010 według afiljacji narządowych</w:t>
      </w:r>
    </w:p>
    <w:p w:rsidR="00EE3163" w:rsidRDefault="00EE3163" w:rsidP="00EE316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Marginesy </w:t>
      </w:r>
    </w:p>
    <w:p w:rsidR="00EE3163" w:rsidRDefault="00EE3163" w:rsidP="00EE3163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polipektomii i wycięcia śluzówkowego/podśluzówkowego: margines w głębi</w:t>
      </w:r>
    </w:p>
    <w:p w:rsidR="00EE3163" w:rsidRDefault="00EE3163" w:rsidP="00EE3163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materiale operacyjnym: minimalny margines chirurgiczny</w:t>
      </w:r>
      <w:r w:rsidR="00FF093E">
        <w:rPr>
          <w:rFonts w:ascii="Times New Roman" w:hAnsi="Times New Roman" w:cs="Times New Roman"/>
          <w:sz w:val="28"/>
          <w:szCs w:val="28"/>
        </w:rPr>
        <w:t xml:space="preserve"> (cm)</w:t>
      </w:r>
      <w:r>
        <w:rPr>
          <w:rFonts w:ascii="Times New Roman" w:hAnsi="Times New Roman" w:cs="Times New Roman"/>
          <w:sz w:val="28"/>
          <w:szCs w:val="28"/>
        </w:rPr>
        <w:t>, określić który</w:t>
      </w:r>
    </w:p>
    <w:p w:rsidR="00EE3163" w:rsidRDefault="00EE3163" w:rsidP="00EE316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Inwazja naczyń, nerwów</w:t>
      </w:r>
    </w:p>
    <w:p w:rsidR="00EE3163" w:rsidRDefault="00EE3163" w:rsidP="00EE3163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 obecna</w:t>
      </w:r>
    </w:p>
    <w:p w:rsidR="00EE3163" w:rsidRDefault="00EE3163" w:rsidP="00EE3163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obecna</w:t>
      </w:r>
    </w:p>
    <w:p w:rsidR="00EE3163" w:rsidRPr="00EE3163" w:rsidRDefault="00EE3163" w:rsidP="00EE3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3163">
        <w:rPr>
          <w:rFonts w:ascii="Times New Roman" w:hAnsi="Times New Roman" w:cs="Times New Roman"/>
          <w:sz w:val="28"/>
          <w:szCs w:val="28"/>
        </w:rPr>
        <w:t>f. typ komórki – warunkowo</w:t>
      </w:r>
    </w:p>
    <w:p w:rsidR="00EE3163" w:rsidRDefault="00EE3163" w:rsidP="00EE3163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 typ histoformatywny – warunkowo</w:t>
      </w:r>
    </w:p>
    <w:p w:rsidR="00EE3163" w:rsidRDefault="00EE3163" w:rsidP="00EE3163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h. w przypadku NEN żołądka typ kliniczny: 1, 2, 3</w:t>
      </w:r>
    </w:p>
    <w:p w:rsidR="00EE3163" w:rsidRDefault="00EE3163" w:rsidP="00EE3163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E3163" w:rsidRDefault="00EE3163" w:rsidP="00EE3163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E3163">
        <w:rPr>
          <w:rFonts w:ascii="Times New Roman" w:hAnsi="Times New Roman" w:cs="Times New Roman"/>
          <w:sz w:val="28"/>
          <w:szCs w:val="28"/>
        </w:rPr>
        <w:t>Badania immunohistochemiczne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63" w:rsidRDefault="00EE3163" w:rsidP="00EE3163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markery neuroendokrynne: chromogranina A i synaptofizyna –obowiązkowo, CD56 – warunkowo</w:t>
      </w:r>
    </w:p>
    <w:p w:rsidR="00EE3163" w:rsidRDefault="00EE3163" w:rsidP="00EE3163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aktywność proliferacyjna: Ki67/MIB1</w:t>
      </w:r>
      <w:r w:rsidR="005C3DAA">
        <w:rPr>
          <w:rFonts w:ascii="Times New Roman" w:hAnsi="Times New Roman" w:cs="Times New Roman"/>
          <w:sz w:val="28"/>
          <w:szCs w:val="28"/>
        </w:rPr>
        <w:t xml:space="preserve"> (obowiązkowo)</w:t>
      </w:r>
    </w:p>
    <w:p w:rsidR="006B373A" w:rsidRDefault="006B373A" w:rsidP="00EE3163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inne markery związane z wydzielniczą czynnością endokrynną guzów </w:t>
      </w:r>
      <w:r w:rsidR="00BE3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warunkowo</w:t>
      </w:r>
    </w:p>
    <w:p w:rsidR="00BE3AEB" w:rsidRDefault="00BE3AEB" w:rsidP="00EE3163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E3163" w:rsidRDefault="003C63A0" w:rsidP="00EE3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</w:t>
      </w:r>
      <w:r w:rsidR="00F34F91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miennictwo:</w:t>
      </w:r>
    </w:p>
    <w:p w:rsidR="003C63A0" w:rsidRPr="003C63A0" w:rsidRDefault="003C63A0" w:rsidP="003C63A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>Bosman FT, Carneiro F, Hruban RH, Theise ND (Eds): WHO Classification of Tumours of the Digestive System. IARC: Lyon 2010</w:t>
      </w:r>
    </w:p>
    <w:p w:rsidR="003C63A0" w:rsidRPr="003C63A0" w:rsidRDefault="0051698A" w:rsidP="003C63A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C63A0" w:rsidRPr="003C63A0">
          <w:rPr>
            <w:rStyle w:val="Hipercze"/>
            <w:rFonts w:ascii="Times New Roman" w:hAnsi="Times New Roman"/>
            <w:sz w:val="24"/>
            <w:szCs w:val="24"/>
            <w:lang w:val="en-US"/>
          </w:rPr>
          <w:t>http://www.cap.org</w:t>
        </w:r>
      </w:hyperlink>
      <w:r w:rsidR="003C63A0" w:rsidRPr="003C63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63A0" w:rsidRPr="003C63A0">
        <w:rPr>
          <w:rFonts w:ascii="Times New Roman" w:hAnsi="Times New Roman" w:cs="Times New Roman"/>
          <w:bCs/>
          <w:sz w:val="24"/>
          <w:szCs w:val="24"/>
        </w:rPr>
        <w:t>Protocol for the Examination of Specimens From Patients With</w:t>
      </w:r>
      <w:r w:rsidR="003C6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3A0" w:rsidRPr="003C63A0">
        <w:rPr>
          <w:rFonts w:ascii="Times New Roman" w:hAnsi="Times New Roman" w:cs="Times New Roman"/>
          <w:bCs/>
          <w:sz w:val="24"/>
          <w:szCs w:val="24"/>
        </w:rPr>
        <w:t>Neuroendocrine Tumors (Carcinoid Tumors) of the Stomach.  Protocol applies to well-differentiated neuroendocrine tumors of the stomach</w:t>
      </w:r>
    </w:p>
    <w:p w:rsidR="003C63A0" w:rsidRPr="003C63A0" w:rsidRDefault="0051698A" w:rsidP="003C63A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C63A0" w:rsidRPr="003C63A0">
          <w:rPr>
            <w:rStyle w:val="Hipercze"/>
            <w:rFonts w:ascii="Times New Roman" w:hAnsi="Times New Roman"/>
            <w:sz w:val="24"/>
            <w:szCs w:val="24"/>
            <w:lang w:val="en-US"/>
          </w:rPr>
          <w:t>http://www.cap.org</w:t>
        </w:r>
      </w:hyperlink>
      <w:r w:rsidR="003C63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63A0" w:rsidRPr="003C63A0">
        <w:rPr>
          <w:rFonts w:ascii="Times New Roman" w:hAnsi="Times New Roman" w:cs="Times New Roman"/>
          <w:bCs/>
          <w:sz w:val="24"/>
          <w:szCs w:val="24"/>
        </w:rPr>
        <w:t>Protocol for the Examination of Specimens From Patients With</w:t>
      </w:r>
      <w:r w:rsidR="003C6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3A0" w:rsidRPr="003C63A0">
        <w:rPr>
          <w:rFonts w:ascii="Times New Roman" w:hAnsi="Times New Roman" w:cs="Times New Roman"/>
          <w:bCs/>
          <w:sz w:val="24"/>
          <w:szCs w:val="24"/>
        </w:rPr>
        <w:t>Neuroendocrine Tumors (Carcinoid Tumors) of the Small Intestine</w:t>
      </w:r>
      <w:r w:rsidR="003C6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3A0" w:rsidRPr="003C63A0">
        <w:rPr>
          <w:rFonts w:ascii="Times New Roman" w:hAnsi="Times New Roman" w:cs="Times New Roman"/>
          <w:bCs/>
          <w:sz w:val="24"/>
          <w:szCs w:val="24"/>
        </w:rPr>
        <w:t>and Ampulla</w:t>
      </w:r>
      <w:r w:rsidR="003C63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63A0" w:rsidRPr="003C63A0">
        <w:rPr>
          <w:rFonts w:ascii="Times New Roman" w:hAnsi="Times New Roman" w:cs="Times New Roman"/>
          <w:bCs/>
          <w:sz w:val="24"/>
          <w:szCs w:val="24"/>
        </w:rPr>
        <w:t>Protocol applies to well-differentiated neuroendocrine tumors of the duodenum,</w:t>
      </w:r>
    </w:p>
    <w:p w:rsidR="003C63A0" w:rsidRPr="003C63A0" w:rsidRDefault="003C63A0" w:rsidP="003C63A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63A0">
        <w:rPr>
          <w:rFonts w:ascii="Times New Roman" w:hAnsi="Times New Roman" w:cs="Times New Roman"/>
          <w:bCs/>
          <w:sz w:val="24"/>
          <w:szCs w:val="24"/>
        </w:rPr>
        <w:t>ampulla, jejunum, and ileum</w:t>
      </w:r>
    </w:p>
    <w:p w:rsidR="003C63A0" w:rsidRPr="003C63A0" w:rsidRDefault="0051698A" w:rsidP="003C63A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63A0" w:rsidRPr="00B906FA">
          <w:rPr>
            <w:rStyle w:val="Hipercze"/>
            <w:rFonts w:ascii="Times New Roman" w:hAnsi="Times New Roman"/>
            <w:sz w:val="24"/>
            <w:szCs w:val="24"/>
            <w:lang w:val="en-US"/>
          </w:rPr>
          <w:t>http://www.cap.org</w:t>
        </w:r>
      </w:hyperlink>
      <w:r w:rsidR="003C63A0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C63A0" w:rsidRPr="003C63A0">
        <w:rPr>
          <w:rFonts w:ascii="Times New Roman" w:hAnsi="Times New Roman" w:cs="Times New Roman"/>
          <w:bCs/>
          <w:sz w:val="24"/>
          <w:szCs w:val="24"/>
        </w:rPr>
        <w:t>Protocol for the Examination of Specimens From Patients With</w:t>
      </w:r>
      <w:r w:rsidR="003C6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3A0" w:rsidRPr="003C63A0">
        <w:rPr>
          <w:rFonts w:ascii="Times New Roman" w:hAnsi="Times New Roman" w:cs="Times New Roman"/>
          <w:bCs/>
          <w:sz w:val="24"/>
          <w:szCs w:val="24"/>
        </w:rPr>
        <w:t>Neuroendocrine Tumors (Carcinoid Tumors) of the Colon and</w:t>
      </w:r>
      <w:r w:rsidR="003C6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3A0" w:rsidRPr="003C63A0">
        <w:rPr>
          <w:rFonts w:ascii="Times New Roman" w:hAnsi="Times New Roman" w:cs="Times New Roman"/>
          <w:bCs/>
          <w:sz w:val="24"/>
          <w:szCs w:val="24"/>
        </w:rPr>
        <w:t>Rectum</w:t>
      </w:r>
      <w:r w:rsidR="003C63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63A0" w:rsidRPr="003C63A0">
        <w:rPr>
          <w:rFonts w:ascii="Times New Roman" w:hAnsi="Times New Roman" w:cs="Times New Roman"/>
          <w:bCs/>
          <w:sz w:val="24"/>
          <w:szCs w:val="24"/>
        </w:rPr>
        <w:t>Protocol applies to well-differentiated neuroendocrine tumors of the large bowel</w:t>
      </w:r>
      <w:r w:rsidR="003C6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3A0" w:rsidRPr="003C63A0">
        <w:rPr>
          <w:rFonts w:ascii="Times New Roman" w:hAnsi="Times New Roman" w:cs="Times New Roman"/>
          <w:bCs/>
          <w:sz w:val="24"/>
          <w:szCs w:val="24"/>
        </w:rPr>
        <w:t>and rectum</w:t>
      </w:r>
    </w:p>
    <w:p w:rsidR="003C63A0" w:rsidRDefault="003C63A0" w:rsidP="003C63A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3A0">
        <w:rPr>
          <w:rFonts w:ascii="Times New Roman" w:hAnsi="Times New Roman" w:cs="Times New Roman"/>
          <w:sz w:val="24"/>
          <w:szCs w:val="24"/>
        </w:rPr>
        <w:t>Nasierowska-Guttmejer A. Nowa klasyfikacja NET. Onco Review 2011: 1: 46-50</w:t>
      </w:r>
    </w:p>
    <w:p w:rsidR="003C63A0" w:rsidRPr="003C63A0" w:rsidRDefault="003C63A0" w:rsidP="003C63A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3A0">
        <w:rPr>
          <w:rFonts w:ascii="Times New Roman" w:hAnsi="Times New Roman" w:cs="Times New Roman"/>
          <w:sz w:val="24"/>
          <w:szCs w:val="24"/>
          <w:lang w:val="en-US"/>
        </w:rPr>
        <w:t>Rindi G., Arnold R., Bosman F.T. et al.: TNM staging of foregut (neuro)endocrine tumors; a consensus proposal including a grading system. Virchows Arch 2006; 449: 393-401</w:t>
      </w:r>
    </w:p>
    <w:p w:rsidR="00EE3163" w:rsidRPr="003C63A0" w:rsidRDefault="00EE3163" w:rsidP="00EE3163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EE3163" w:rsidRPr="003C63A0" w:rsidSect="0031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5DF4064"/>
    <w:multiLevelType w:val="hybridMultilevel"/>
    <w:tmpl w:val="0D749C2C"/>
    <w:lvl w:ilvl="0" w:tplc="D6A04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F637A"/>
    <w:multiLevelType w:val="hybridMultilevel"/>
    <w:tmpl w:val="65443CAE"/>
    <w:lvl w:ilvl="0" w:tplc="F8D8F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F2A97"/>
    <w:multiLevelType w:val="hybridMultilevel"/>
    <w:tmpl w:val="C4EA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9AB"/>
    <w:multiLevelType w:val="hybridMultilevel"/>
    <w:tmpl w:val="7896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352F"/>
    <w:multiLevelType w:val="hybridMultilevel"/>
    <w:tmpl w:val="C4EA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F3387"/>
    <w:multiLevelType w:val="hybridMultilevel"/>
    <w:tmpl w:val="C4EA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D67FF"/>
    <w:multiLevelType w:val="hybridMultilevel"/>
    <w:tmpl w:val="C4EA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E3163"/>
    <w:rsid w:val="00016B4C"/>
    <w:rsid w:val="000A5603"/>
    <w:rsid w:val="000C701E"/>
    <w:rsid w:val="002C3786"/>
    <w:rsid w:val="00313FA7"/>
    <w:rsid w:val="00314177"/>
    <w:rsid w:val="003C63A0"/>
    <w:rsid w:val="0051698A"/>
    <w:rsid w:val="005C3DAA"/>
    <w:rsid w:val="006A75C2"/>
    <w:rsid w:val="006B373A"/>
    <w:rsid w:val="006E1BB6"/>
    <w:rsid w:val="00971D61"/>
    <w:rsid w:val="00BE3AEB"/>
    <w:rsid w:val="00E05FAB"/>
    <w:rsid w:val="00E51597"/>
    <w:rsid w:val="00EC3502"/>
    <w:rsid w:val="00EE3163"/>
    <w:rsid w:val="00F34F91"/>
    <w:rsid w:val="00FD76AB"/>
    <w:rsid w:val="00FF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163"/>
    <w:pPr>
      <w:ind w:left="720"/>
      <w:contextualSpacing/>
    </w:pPr>
  </w:style>
  <w:style w:type="table" w:styleId="Tabela-Siatka">
    <w:name w:val="Table Grid"/>
    <w:basedOn w:val="Standardowy"/>
    <w:uiPriority w:val="59"/>
    <w:rsid w:val="00EE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2">
    <w:name w:val="Domyślna czcionka akapitu2"/>
    <w:rsid w:val="00EE3163"/>
  </w:style>
  <w:style w:type="paragraph" w:styleId="Tekstpodstawowy">
    <w:name w:val="Body Text"/>
    <w:aliases w:val=" Znak"/>
    <w:basedOn w:val="Normalny"/>
    <w:link w:val="TekstpodstawowyZnak"/>
    <w:rsid w:val="00EE31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EE3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C6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.org" TargetMode="External"/><Relationship Id="rId5" Type="http://schemas.openxmlformats.org/officeDocument/2006/relationships/hyperlink" Target="http://www.ca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16</cp:revision>
  <dcterms:created xsi:type="dcterms:W3CDTF">2013-09-28T06:10:00Z</dcterms:created>
  <dcterms:modified xsi:type="dcterms:W3CDTF">2013-10-19T08:41:00Z</dcterms:modified>
</cp:coreProperties>
</file>